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2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20"/>
        <w:gridCol w:w="6380"/>
        <w:gridCol w:w="1720"/>
        <w:tblGridChange w:id="0">
          <w:tblGrid>
            <w:gridCol w:w="2120"/>
            <w:gridCol w:w="6380"/>
            <w:gridCol w:w="1720"/>
          </w:tblGrid>
        </w:tblGridChange>
      </w:tblGrid>
      <w:tr>
        <w:trPr>
          <w:cantSplit w:val="0"/>
          <w:trHeight w:val="128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ind w:left="120" w:firstLine="0"/>
              <w:rPr/>
            </w:pPr>
            <w:r w:rsidDel="00000000" w:rsidR="00000000" w:rsidRPr="00000000">
              <w:rPr/>
              <w:drawing>
                <wp:inline distB="19050" distT="19050" distL="19050" distR="19050">
                  <wp:extent cx="1047750" cy="105727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0572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310.28234481811523" w:lineRule="auto"/>
              <w:ind w:left="760.9954833984375" w:right="630.6195068359375" w:firstLine="0"/>
              <w:jc w:val="center"/>
              <w:rPr>
                <w:b w:val="1"/>
                <w:bCs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2"/>
                <w:szCs w:val="32"/>
                <w:rtl w:val="0"/>
              </w:rPr>
              <w:t xml:space="preserve">CONTENUTI</w:t>
            </w:r>
          </w:p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ind w:left="285" w:firstLine="0"/>
              <w:rPr>
                <w:b w:val="1"/>
                <w:bCs w:val="1"/>
                <w:sz w:val="60"/>
                <w:szCs w:val="60"/>
                <w:vertAlign w:val="subscript"/>
              </w:rPr>
            </w:pPr>
            <w:r w:rsidDel="00000000" w:rsidR="00000000" w:rsidRPr="00000000">
              <w:rPr>
                <w:b w:val="1"/>
                <w:bCs w:val="1"/>
                <w:sz w:val="60"/>
                <w:szCs w:val="60"/>
                <w:vertAlign w:val="subscript"/>
                <w:rtl w:val="0"/>
              </w:rPr>
              <w:t xml:space="preserve">A.S 2025/2026</w:t>
            </w:r>
          </w:p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ind w:left="285" w:firstLine="0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bCs w:val="1"/>
                <w:sz w:val="36"/>
                <w:szCs w:val="36"/>
                <w:rtl w:val="0"/>
              </w:rPr>
              <w:t xml:space="preserve">Classe 5 Sez. D</w:t>
            </w:r>
          </w:p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ind w:left="285" w:firstLine="0"/>
              <w:rPr>
                <w:rFonts w:ascii="Times New Roman" w:cs="Times New Roman" w:eastAsia="Times New Roman" w:hAnsi="Times New Roman"/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bCs w:val="1"/>
                <w:sz w:val="36"/>
                <w:szCs w:val="36"/>
                <w:rtl w:val="0"/>
              </w:rPr>
              <w:t xml:space="preserve">Disciplina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36"/>
                <w:szCs w:val="36"/>
                <w:rtl w:val="0"/>
              </w:rPr>
              <w:t xml:space="preserve">Chimica organica e Biochimica </w:t>
            </w:r>
          </w:p>
          <w:p w:rsidR="00000000" w:rsidDel="00000000" w:rsidP="00000000" w:rsidRDefault="00000000" w:rsidRPr="00000000" w14:paraId="00000007">
            <w:pPr>
              <w:widowControl w:val="0"/>
              <w:spacing w:before="27.9595947265625" w:line="240" w:lineRule="auto"/>
              <w:ind w:left="310.92002868652344" w:firstLine="0"/>
              <w:rPr>
                <w:b w:val="1"/>
                <w:bCs w:val="1"/>
                <w:sz w:val="60"/>
                <w:szCs w:val="60"/>
                <w:vertAlign w:val="subscript"/>
              </w:rPr>
            </w:pPr>
            <w:r w:rsidDel="00000000" w:rsidR="00000000" w:rsidRPr="00000000">
              <w:rPr>
                <w:b w:val="1"/>
                <w:bCs w:val="1"/>
                <w:sz w:val="60"/>
                <w:szCs w:val="60"/>
                <w:vertAlign w:val="subscript"/>
                <w:rtl w:val="0"/>
              </w:rPr>
              <w:t xml:space="preserve">Docenti </w:t>
            </w:r>
          </w:p>
          <w:p w:rsidR="00000000" w:rsidDel="00000000" w:rsidP="00000000" w:rsidRDefault="00000000" w:rsidRPr="00000000" w14:paraId="00000008">
            <w:pPr>
              <w:widowControl w:val="0"/>
              <w:spacing w:before="27.9595947265625" w:line="240" w:lineRule="auto"/>
              <w:ind w:left="310.92002868652344" w:firstLine="0"/>
              <w:rPr>
                <w:rFonts w:ascii="Times New Roman" w:cs="Times New Roman" w:eastAsia="Times New Roman" w:hAnsi="Times New Roman"/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36"/>
                <w:szCs w:val="36"/>
                <w:rtl w:val="0"/>
              </w:rPr>
              <w:t xml:space="preserve">Prof.ssa Laura Lo Iudice  e Prof.ssa Barbara Barone</w:t>
            </w:r>
          </w:p>
          <w:p w:rsidR="00000000" w:rsidDel="00000000" w:rsidP="00000000" w:rsidRDefault="00000000" w:rsidRPr="00000000" w14:paraId="00000009">
            <w:pPr>
              <w:widowControl w:val="0"/>
              <w:spacing w:line="310.28234481811523" w:lineRule="auto"/>
              <w:ind w:left="760.9954833984375" w:right="630.6195068359375" w:firstLine="0"/>
              <w:jc w:val="center"/>
              <w:rPr>
                <w:b w:val="1"/>
                <w:bCs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A.S. 2025/26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27.9595947265625" w:line="240" w:lineRule="auto"/>
        <w:ind w:left="310.92002868652344" w:firstLine="0"/>
        <w:rPr>
          <w:rFonts w:ascii="Times New Roman" w:cs="Times New Roman" w:eastAsia="Times New Roman" w:hAnsi="Times New Roman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20"/>
        <w:gridCol w:w="6380"/>
        <w:gridCol w:w="1720"/>
        <w:tblGridChange w:id="0">
          <w:tblGrid>
            <w:gridCol w:w="2120"/>
            <w:gridCol w:w="6380"/>
            <w:gridCol w:w="1720"/>
          </w:tblGrid>
        </w:tblGridChange>
      </w:tblGrid>
      <w:tr>
        <w:trPr>
          <w:cantSplit w:val="0"/>
          <w:trHeight w:val="128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ind w:left="120" w:firstLine="0"/>
              <w:rPr>
                <w:rFonts w:ascii="Times New Roman" w:cs="Times New Roman" w:eastAsia="Times New Roman" w:hAnsi="Times New Roman"/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36"/>
                <w:szCs w:val="36"/>
              </w:rPr>
              <w:drawing>
                <wp:inline distB="19050" distT="19050" distL="19050" distR="19050">
                  <wp:extent cx="1047750" cy="1057275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0572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310.28234481811523" w:lineRule="auto"/>
              <w:ind w:left="760.9954833984375" w:right="630.6195068359375" w:firstLine="0"/>
              <w:jc w:val="left"/>
              <w:rPr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32"/>
                <w:szCs w:val="32"/>
                <w:rtl w:val="0"/>
              </w:rPr>
              <w:t xml:space="preserve">PROGRAMMAZIONE DIDATTICA </w:t>
            </w: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Mod. MQ08A03 Rev.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A.S. 2025/26</w:t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widowControl w:val="0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600.0" w:type="dxa"/>
        <w:jc w:val="left"/>
        <w:tblInd w:w="1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rHeight w:val="17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884552001953" w:lineRule="auto"/>
              <w:ind w:left="805.2171325683594" w:right="727.425537109375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highlight w:val="white"/>
                <w:u w:val="single"/>
                <w:vertAlign w:val="baseline"/>
                <w:rtl w:val="0"/>
              </w:rPr>
              <w:t xml:space="preserve">PROGRAMMA DI CHIMICA ORGANICA E BIOCHIMICA SVOLTO al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highlight w:val="white"/>
                <w:u w:val="single"/>
                <w:vertAlign w:val="baseline"/>
                <w:rtl w:val="0"/>
              </w:rPr>
              <w:t xml:space="preserve">15/05/2026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0.4602050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highlight w:val="white"/>
                <w:u w:val="none"/>
                <w:vertAlign w:val="baseline"/>
                <w:rtl w:val="0"/>
              </w:rPr>
              <w:t xml:space="preserve">Docenti: Prof.ssa Laura Lo Iudice - Prof.ssa Barbara Barone</w:t>
            </w:r>
          </w:p>
        </w:tc>
      </w:tr>
    </w:tbl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0"/>
        <w:gridCol w:w="9360"/>
        <w:tblGridChange w:id="0">
          <w:tblGrid>
            <w:gridCol w:w="600"/>
            <w:gridCol w:w="9360"/>
          </w:tblGrid>
        </w:tblGridChange>
      </w:tblGrid>
      <w:tr>
        <w:trPr>
          <w:cantSplit w:val="0"/>
          <w:trHeight w:val="13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88847255706787" w:lineRule="auto"/>
              <w:ind w:left="88.84002685546875" w:right="33.02001953125" w:firstLine="5.7600402832031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CARBOIDRATI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classificazione, caratteristiche chimico fisiche e biologiche, reattività. Funzione dei glucidi. Monosaccaridi: strutture emiacetaliche. Anomeria e mutarotazione. Legame glicosidico. Disaccaridi e polisaccaridi</w:t>
            </w:r>
          </w:p>
        </w:tc>
      </w:tr>
      <w:tr>
        <w:trPr>
          <w:cantSplit w:val="0"/>
          <w:trHeight w:val="19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.3717384338379" w:lineRule="auto"/>
              <w:ind w:left="86.43997192382812" w:right="17.9931640625" w:firstLine="0.480041503906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ACIDI GRASSI, LIPIDI SAPONIFICABILI E LIPIDI NON SAPONIFICABILI: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Proprietà chimiche e fisiche. Acidi grassi saturi e insaturi. Prostaglandine. Lipidi: caratteristiche strutturali e funzionali. Gliceridi neutri e fosfolipidi Saponificazione dei grassi e degli oli, reattività dei gliceridi. Vitamine liposolubili.</w:t>
            </w:r>
          </w:p>
        </w:tc>
      </w:tr>
      <w:tr>
        <w:trPr>
          <w:cantSplit w:val="0"/>
          <w:trHeight w:val="19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88847255706787" w:lineRule="auto"/>
              <w:ind w:left="92.92007446289062" w:right="30.71044921875" w:hanging="6.000061035156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AMMINOACIDI E PROTEINE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caratteristiche, classificazione e proprietà chimico-fisiche degli amminoacidi. Legame peptidico. Proteine: caratteristiche chimico-fisiche e biologiche, funzioni, strutture proteiche (primaria, secondaria, terziaria e quaternaria), classificazione (fibrose e globulari), denaturazione. Emoglobina e mioglobina: struttura e funzioni, curve di saturazione, cooperatività..</w:t>
            </w:r>
          </w:p>
        </w:tc>
      </w:tr>
      <w:tr>
        <w:trPr>
          <w:cantSplit w:val="0"/>
          <w:trHeight w:val="25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88847255706787" w:lineRule="auto"/>
              <w:ind w:left="84.51995849609375" w:right="145.05126953125" w:firstLine="5.2799987792968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ENZIMI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definizione e caratteristiche. Sito attivo: modello chiave e serratura e adattamento indotto. Classificazione e nomenclatura. Meccanismo d’ azione. Specificità. Regolazione passiva dell’attività enzimatica. Equazione di Michaelis e Menten e Km. Confronto Km glucochinasi ed esochinasi: relative considerazioni. Regolazione attiva dell’attività enzimatica: effetto degli inibitori (inibizione reversibile, irreversibile, competitiva e non competitiva, mista). Regolazione degli enzimi allosterici (curve di attività), regolazione feedback, modificazione covalente, attivazione degli zimogeni. Compartimentazione degli enzimi. Gli isoenzimi.</w:t>
            </w:r>
          </w:p>
        </w:tc>
      </w:tr>
      <w:tr>
        <w:trPr>
          <w:cantSplit w:val="0"/>
          <w:trHeight w:val="28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.3717384338379" w:lineRule="auto"/>
              <w:ind w:left="86.43997192382812" w:right="27.77099609375" w:firstLine="3.35998535156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METABOLISMO GLUCIDICO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Glicolisi: fase di investimento e di rendimento. Bioenergetica della glicolisi e controllo enzimatico. Destino del privato in condizioni anaerobiche: fermentazione lattica e fermentazione alcolica. Il catabolismo aerobico: La respirazione cellulare. La decarbossilazione ossidativa del piruvato, Ciclo di Krebs e fosforilazione ossidativa ( la catena di trasporto degli elettroni e la chemiosmosi) 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92144775390625" w:line="264.3717384338379" w:lineRule="auto"/>
              <w:ind w:left="89.08004760742188" w:right="1751.881103515625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Metabolismo degli zuccheri: gluconeogenesi, glicogenolisi e glicogenosintesi. Metabolismo dei lipidi: beta ossidazione e sintesi dei lipidi 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921295166015625" w:line="240" w:lineRule="auto"/>
              <w:ind w:left="89.0800476074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Metabolismo delle proteine. Integrazione delle vie metaboliche regolazione ormonale.</w:t>
            </w:r>
          </w:p>
        </w:tc>
      </w:tr>
    </w:tbl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0"/>
        <w:gridCol w:w="9360"/>
        <w:tblGridChange w:id="0">
          <w:tblGrid>
            <w:gridCol w:w="600"/>
            <w:gridCol w:w="9360"/>
          </w:tblGrid>
        </w:tblGridChange>
      </w:tblGrid>
      <w:tr>
        <w:trPr>
          <w:cantSplit w:val="0"/>
          <w:trHeight w:val="66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.92001342773438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single"/>
                <w:vertAlign w:val="baseline"/>
                <w:rtl w:val="0"/>
              </w:rPr>
              <w:t xml:space="preserve">ATTIVITÀ DI LABORATORIO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1.87255859375" w:line="226.14141941070557" w:lineRule="auto"/>
              <w:ind w:left="84.51995849609375" w:right="69.339599609375" w:firstLine="12.960052490234375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Studio di matrice complessa: il latte.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Approccio all' analisi chimica di miscele complesse.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Importanza della conoscenza e approfondimento dei componenti da separare e quantificare.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Grado di acidità del latte. Abbassamento del pH con CH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.000000953674316"/>
                <w:szCs w:val="24.000000953674316"/>
                <w:u w:val="none"/>
                <w:shd w:fill="auto" w:val="clear"/>
                <w:vertAlign w:val="sub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COOH al 50%, valutazione 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ertinenza dell’uso di altri acidi per lo scopo. Digestione della fase solida. Purificazione del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siero estratto con alcool etilico. Determinazione della massa di lattosio ottenuto dall' estrazione.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Saggio di Fehling. Funzione dei componenti del reattivo per evidenziare le proprietà riducenti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del lattosio. Resa di reazione. Analisi spettrofotometrica del lattosio. Limiti di attendibilità 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rilevabilità dello spettrofotometro. Opportunità della diluizione del campione.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Fermentazione e sostenibilità.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189453125" w:line="229.88847255706787" w:lineRule="auto"/>
              <w:ind w:left="86.92001342773438" w:right="35.38818359375" w:firstLine="1.9200134277343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Fermentazione del glucosio con lievito di birra. Determinazione della densità della miscela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idroalcolica dopo fermentazione e distillazione, per via diretta e indiretta. Discussione dei dati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ottenuti e valutazione della resa in alcool. Riciclo degli scarti: discussione sui possibili utilizzi 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verifica dell'esaustività della fase solida. Resa teorica di reazione e resa del processo di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fermentazione. Aspetti generali sulla produzione dell'alcool etilico per uso alimentare e per gli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altri usi.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00830078125" w:line="229.88847255706787" w:lineRule="auto"/>
              <w:ind w:left="84.51995849609375" w:right="431.016845703125" w:firstLine="4.3200683593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Fermentazione alcolica-Produzione industriale della birra presso Birrificio Peroni.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Proteine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Titolazione potenziometrica della glicina e dell'arginina per la determinazione del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un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 isoelettrico 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00830078125" w:line="229.88847255706787" w:lineRule="auto"/>
              <w:ind w:left="84.75997924804688" w:right="895.548095703125" w:firstLine="4.7999572753906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Riutilizzo di materiale di scarto: olio esausto.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saponificazione; La produzione del biodiesel.</w:t>
            </w:r>
          </w:p>
        </w:tc>
      </w:tr>
    </w:tbl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9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20"/>
        <w:tblGridChange w:id="0">
          <w:tblGrid>
            <w:gridCol w:w="9920"/>
          </w:tblGrid>
        </w:tblGridChange>
      </w:tblGrid>
      <w:tr>
        <w:trPr>
          <w:cantSplit w:val="0"/>
          <w:trHeight w:val="9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4.0800476074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Boschi, Rizzoni; “Biochimicamente. Le biomolecole” Zanichelli 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4.0800476074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Boschi, Rizzoni; “Biochimicamente. L’energia e i metabolismi” Zanichelli 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1.920013427734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materiale condiviso dal docente</w:t>
            </w:r>
          </w:p>
        </w:tc>
      </w:tr>
    </w:tbl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4.881591796875" w:lineRule="auto"/>
        <w:ind w:left="6191.856689453125" w:right="1115.054931640625" w:hanging="5985.576782226562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Frascati 3 Giugno                                                                                   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e docenti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4.881591796875" w:lineRule="auto"/>
        <w:ind w:left="6191.856689453125" w:right="1115.054931640625" w:hanging="5985.576782226562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b w:val="1"/>
          <w:bCs w:val="1"/>
          <w:rtl w:val="0"/>
        </w:rPr>
        <w:t xml:space="preserve">                                                                                                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Prof.ssa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e8eaed" w:val="clear"/>
          <w:vertAlign w:val="baseline"/>
          <w:rtl w:val="0"/>
        </w:rPr>
        <w:t xml:space="preserve">Laura Lo Iudice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Prof.ssa Barbara Barone</w:t>
      </w:r>
    </w:p>
    <w:sectPr>
      <w:pgSz w:h="16840" w:w="11920" w:orient="portrait"/>
      <w:pgMar w:bottom="1710" w:top="1430" w:left="1250" w:right="71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